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5B0B" w:rsidRPr="002A5B0B" w:rsidRDefault="002A5B0B" w:rsidP="002A5B0B">
      <w:pPr>
        <w:autoSpaceDE w:val="0"/>
        <w:autoSpaceDN w:val="0"/>
        <w:adjustRightInd w:val="0"/>
        <w:spacing w:after="0" w:line="240" w:lineRule="auto"/>
        <w:rPr>
          <w:rFonts w:ascii="Arial" w:hAnsi="Arial" w:cs="Arial"/>
          <w:color w:val="000000"/>
          <w:sz w:val="24"/>
          <w:szCs w:val="24"/>
        </w:rPr>
      </w:pPr>
    </w:p>
    <w:p w:rsidR="002A5B0B" w:rsidRPr="002A5B0B" w:rsidRDefault="002A5B0B" w:rsidP="002A5B0B">
      <w:pPr>
        <w:rPr>
          <w:rFonts w:ascii="Arial" w:hAnsi="Arial" w:cs="Arial"/>
          <w:b/>
          <w:bCs/>
          <w:color w:val="000000"/>
          <w:sz w:val="40"/>
          <w:szCs w:val="40"/>
        </w:rPr>
      </w:pPr>
      <w:r w:rsidRPr="002A5B0B">
        <w:rPr>
          <w:rFonts w:ascii="Arial" w:hAnsi="Arial" w:cs="Arial"/>
          <w:sz w:val="24"/>
          <w:szCs w:val="24"/>
        </w:rPr>
        <w:t xml:space="preserve"> </w:t>
      </w:r>
      <w:r w:rsidRPr="002A5B0B">
        <w:rPr>
          <w:rFonts w:ascii="Arial" w:hAnsi="Arial" w:cs="Arial"/>
          <w:b/>
          <w:bCs/>
          <w:color w:val="000000"/>
          <w:sz w:val="40"/>
          <w:szCs w:val="40"/>
        </w:rPr>
        <w:t xml:space="preserve">Lookouts, Latrines, and </w:t>
      </w:r>
      <w:proofErr w:type="spellStart"/>
      <w:r w:rsidRPr="002A5B0B">
        <w:rPr>
          <w:rFonts w:ascii="Arial" w:hAnsi="Arial" w:cs="Arial"/>
          <w:b/>
          <w:bCs/>
          <w:color w:val="000000"/>
          <w:sz w:val="40"/>
          <w:szCs w:val="40"/>
        </w:rPr>
        <w:t>Lodgepole</w:t>
      </w:r>
      <w:proofErr w:type="spellEnd"/>
      <w:r w:rsidRPr="002A5B0B">
        <w:rPr>
          <w:rFonts w:ascii="Arial" w:hAnsi="Arial" w:cs="Arial"/>
          <w:b/>
          <w:bCs/>
          <w:color w:val="000000"/>
          <w:sz w:val="40"/>
          <w:szCs w:val="40"/>
        </w:rPr>
        <w:t xml:space="preserve"> Cabins </w:t>
      </w:r>
    </w:p>
    <w:p w:rsidR="002A5B0B" w:rsidRPr="002A5B0B" w:rsidRDefault="002A5B0B" w:rsidP="002A5B0B">
      <w:pPr>
        <w:autoSpaceDE w:val="0"/>
        <w:autoSpaceDN w:val="0"/>
        <w:adjustRightInd w:val="0"/>
        <w:spacing w:after="0" w:line="240" w:lineRule="auto"/>
        <w:rPr>
          <w:rFonts w:ascii="Arial" w:hAnsi="Arial" w:cs="Arial"/>
          <w:color w:val="000000"/>
          <w:sz w:val="28"/>
          <w:szCs w:val="28"/>
        </w:rPr>
      </w:pPr>
      <w:r w:rsidRPr="002A5B0B">
        <w:rPr>
          <w:rFonts w:ascii="Arial" w:hAnsi="Arial" w:cs="Arial"/>
          <w:b/>
          <w:bCs/>
          <w:color w:val="000000"/>
          <w:sz w:val="28"/>
          <w:szCs w:val="28"/>
        </w:rPr>
        <w:t xml:space="preserve">Administrative Facilities of Wyoming’s </w:t>
      </w:r>
    </w:p>
    <w:p w:rsidR="002A5B0B" w:rsidRPr="002A5B0B" w:rsidRDefault="002A5B0B" w:rsidP="002A5B0B">
      <w:pPr>
        <w:rPr>
          <w:rFonts w:ascii="Arial" w:hAnsi="Arial" w:cs="Arial"/>
          <w:b/>
          <w:bCs/>
          <w:color w:val="000000"/>
          <w:sz w:val="28"/>
          <w:szCs w:val="28"/>
        </w:rPr>
      </w:pPr>
      <w:r w:rsidRPr="002A5B0B">
        <w:rPr>
          <w:rFonts w:ascii="Arial" w:hAnsi="Arial" w:cs="Arial"/>
          <w:b/>
          <w:bCs/>
          <w:color w:val="000000"/>
          <w:sz w:val="28"/>
          <w:szCs w:val="28"/>
        </w:rPr>
        <w:t xml:space="preserve">Bridger-Teton National Forest, 1904-1955 </w:t>
      </w:r>
    </w:p>
    <w:p w:rsidR="002A5B0B" w:rsidRPr="002A5B0B" w:rsidRDefault="002A5B0B" w:rsidP="002A5B0B">
      <w:pPr>
        <w:rPr>
          <w:rFonts w:ascii="Arial" w:hAnsi="Arial" w:cs="Arial"/>
          <w:b/>
          <w:bCs/>
          <w:color w:val="000000"/>
          <w:sz w:val="24"/>
          <w:szCs w:val="24"/>
        </w:rPr>
      </w:pPr>
      <w:r w:rsidRPr="002A5B0B">
        <w:rPr>
          <w:rFonts w:ascii="Arial" w:hAnsi="Arial" w:cs="Arial"/>
          <w:b/>
          <w:bCs/>
          <w:color w:val="000000"/>
          <w:sz w:val="24"/>
          <w:szCs w:val="24"/>
        </w:rPr>
        <w:t>LAND ADJUSTMENTS: RESERVES TO FORESTS</w:t>
      </w:r>
    </w:p>
    <w:p w:rsidR="00F707BF" w:rsidRPr="002A5B0B" w:rsidRDefault="002A5B0B" w:rsidP="002A5B0B">
      <w:pPr>
        <w:rPr>
          <w:rFonts w:ascii="Arial" w:hAnsi="Arial" w:cs="Arial"/>
          <w:color w:val="000000"/>
          <w:position w:val="12"/>
          <w:vertAlign w:val="superscript"/>
        </w:rPr>
      </w:pPr>
      <w:r w:rsidRPr="002A5B0B">
        <w:rPr>
          <w:rFonts w:ascii="Arial" w:hAnsi="Arial" w:cs="Arial"/>
          <w:color w:val="000000"/>
        </w:rPr>
        <w:t>The 1911 Weeks Act influenced future reconfigurations. In addition to forming some kind of national fire policy, this act authorized cooperation between the Forest Service and states to protect watersheds through the purchase of lands along headwaters. This attention to watersheds, as part of fire protection, resulted in the adjustment of forest boundaries. Many boundaries set along rivers before 1911 were changed to ridgelines or mountaintops, thus allowing a drainage area to be administered as one unit.</w:t>
      </w:r>
      <w:r w:rsidRPr="002A5B0B">
        <w:rPr>
          <w:rFonts w:ascii="Arial" w:hAnsi="Arial" w:cs="Arial"/>
          <w:color w:val="000000"/>
          <w:position w:val="12"/>
          <w:vertAlign w:val="superscript"/>
        </w:rPr>
        <w:t>60</w:t>
      </w:r>
    </w:p>
    <w:p w:rsidR="002A5B0B" w:rsidRPr="002A5B0B" w:rsidRDefault="002A5B0B">
      <w:pPr>
        <w:rPr>
          <w:rFonts w:ascii="Arial" w:hAnsi="Arial" w:cs="Arial"/>
          <w:color w:val="000000"/>
          <w:position w:val="12"/>
          <w:vertAlign w:val="superscript"/>
        </w:rPr>
      </w:pPr>
      <w:r w:rsidRPr="002A5B0B">
        <w:rPr>
          <w:rFonts w:ascii="Arial" w:hAnsi="Arial" w:cs="Arial"/>
          <w:color w:val="000000"/>
        </w:rPr>
        <w:t xml:space="preserve">Not much is known about this forest’s early years. Except for assorted homestead claims filed as a result of the Weeks Act, early records are non-existent, as are biographies on the forest’s early supervisors. Even Bridger National Forest Supervisor William A. </w:t>
      </w:r>
      <w:proofErr w:type="spellStart"/>
      <w:r w:rsidRPr="002A5B0B">
        <w:rPr>
          <w:rFonts w:ascii="Arial" w:hAnsi="Arial" w:cs="Arial"/>
          <w:color w:val="000000"/>
        </w:rPr>
        <w:t>Worf</w:t>
      </w:r>
      <w:proofErr w:type="spellEnd"/>
      <w:r w:rsidRPr="002A5B0B">
        <w:rPr>
          <w:rFonts w:ascii="Arial" w:hAnsi="Arial" w:cs="Arial"/>
          <w:color w:val="000000"/>
        </w:rPr>
        <w:t xml:space="preserve"> recognized in the early 1960s that all photos, clippings, and records “must all be put down as forest history.” Unfortunately, other than inconsistent, hastily composed “History of ______” documents and scrapbooks assembled after </w:t>
      </w:r>
      <w:proofErr w:type="spellStart"/>
      <w:r w:rsidRPr="002A5B0B">
        <w:rPr>
          <w:rFonts w:ascii="Arial" w:hAnsi="Arial" w:cs="Arial"/>
          <w:color w:val="000000"/>
        </w:rPr>
        <w:t>Worf’s</w:t>
      </w:r>
      <w:proofErr w:type="spellEnd"/>
      <w:r w:rsidRPr="002A5B0B">
        <w:rPr>
          <w:rFonts w:ascii="Arial" w:hAnsi="Arial" w:cs="Arial"/>
          <w:color w:val="000000"/>
        </w:rPr>
        <w:t xml:space="preserve"> informal directive, this was never accomplished.</w:t>
      </w:r>
      <w:r w:rsidRPr="002A5B0B">
        <w:rPr>
          <w:rFonts w:ascii="Arial" w:hAnsi="Arial" w:cs="Arial"/>
          <w:color w:val="000000"/>
          <w:position w:val="12"/>
          <w:vertAlign w:val="superscript"/>
        </w:rPr>
        <w:t>64</w:t>
      </w:r>
    </w:p>
    <w:p w:rsidR="002A5B0B" w:rsidRPr="002A5B0B" w:rsidRDefault="002A5B0B">
      <w:pPr>
        <w:rPr>
          <w:rFonts w:ascii="Arial" w:hAnsi="Arial" w:cs="Arial"/>
          <w:color w:val="000000"/>
        </w:rPr>
      </w:pPr>
      <w:r w:rsidRPr="002A5B0B">
        <w:rPr>
          <w:rFonts w:ascii="Arial" w:hAnsi="Arial" w:cs="Arial"/>
          <w:color w:val="000000"/>
        </w:rPr>
        <w:t>Yet fire management was given little attention until after that severe fire season.</w:t>
      </w:r>
      <w:r w:rsidRPr="002A5B0B">
        <w:rPr>
          <w:rFonts w:ascii="Arial" w:hAnsi="Arial" w:cs="Arial"/>
          <w:color w:val="000000"/>
          <w:position w:val="12"/>
          <w:vertAlign w:val="superscript"/>
        </w:rPr>
        <w:t xml:space="preserve">112 </w:t>
      </w:r>
      <w:proofErr w:type="gramStart"/>
      <w:r w:rsidRPr="002A5B0B">
        <w:rPr>
          <w:rFonts w:ascii="Arial" w:hAnsi="Arial" w:cs="Arial"/>
          <w:color w:val="000000"/>
        </w:rPr>
        <w:t>The</w:t>
      </w:r>
      <w:proofErr w:type="gramEnd"/>
      <w:r w:rsidRPr="002A5B0B">
        <w:rPr>
          <w:rFonts w:ascii="Arial" w:hAnsi="Arial" w:cs="Arial"/>
          <w:color w:val="000000"/>
        </w:rPr>
        <w:t xml:space="preserve"> 1911 Weeks Act authorized and funded state and federal cooperation in forestry and fire protection. That same year, California’s District Forester </w:t>
      </w:r>
      <w:proofErr w:type="spellStart"/>
      <w:r w:rsidRPr="002A5B0B">
        <w:rPr>
          <w:rFonts w:ascii="Arial" w:hAnsi="Arial" w:cs="Arial"/>
          <w:color w:val="000000"/>
        </w:rPr>
        <w:t>Coert</w:t>
      </w:r>
      <w:proofErr w:type="spellEnd"/>
      <w:r w:rsidRPr="002A5B0B">
        <w:rPr>
          <w:rFonts w:ascii="Arial" w:hAnsi="Arial" w:cs="Arial"/>
          <w:color w:val="000000"/>
        </w:rPr>
        <w:t xml:space="preserve"> </w:t>
      </w:r>
      <w:proofErr w:type="spellStart"/>
      <w:r w:rsidRPr="002A5B0B">
        <w:rPr>
          <w:rFonts w:ascii="Arial" w:hAnsi="Arial" w:cs="Arial"/>
          <w:color w:val="000000"/>
        </w:rPr>
        <w:t>DuBois</w:t>
      </w:r>
      <w:proofErr w:type="spellEnd"/>
      <w:r w:rsidRPr="002A5B0B">
        <w:rPr>
          <w:rFonts w:ascii="Arial" w:hAnsi="Arial" w:cs="Arial"/>
          <w:color w:val="000000"/>
        </w:rPr>
        <w:t xml:space="preserve"> developed a fire plan with the Stanislaus National Forest as a model. His plan included a network of lookout points on mountaintops. He explained his plan in a 1914 document titled “Systematic Fire Protection in the California Forests,” which served as a basis for fire control in California.</w:t>
      </w:r>
    </w:p>
    <w:p w:rsidR="002A5B0B" w:rsidRPr="002A5B0B" w:rsidRDefault="002A5B0B">
      <w:pPr>
        <w:rPr>
          <w:rFonts w:ascii="Arial" w:hAnsi="Arial" w:cs="Arial"/>
          <w:color w:val="000000"/>
          <w:position w:val="12"/>
          <w:sz w:val="23"/>
          <w:szCs w:val="23"/>
          <w:vertAlign w:val="superscript"/>
        </w:rPr>
      </w:pPr>
      <w:r w:rsidRPr="002A5B0B">
        <w:rPr>
          <w:rFonts w:ascii="Arial" w:hAnsi="Arial" w:cs="Arial"/>
          <w:color w:val="000000"/>
        </w:rPr>
        <w:t>Advances were made in the 1920s. In 1921, Idaho’s Weiser National Forest set up a central dispatch system to facilitate quicker responses to reported fires. In 1924, Congress passed the Clark-</w:t>
      </w:r>
      <w:proofErr w:type="spellStart"/>
      <w:r w:rsidRPr="002A5B0B">
        <w:rPr>
          <w:rFonts w:ascii="Arial" w:hAnsi="Arial" w:cs="Arial"/>
          <w:color w:val="000000"/>
        </w:rPr>
        <w:t>McNary</w:t>
      </w:r>
      <w:proofErr w:type="spellEnd"/>
      <w:r w:rsidRPr="002A5B0B">
        <w:rPr>
          <w:rFonts w:ascii="Arial" w:hAnsi="Arial" w:cs="Arial"/>
          <w:color w:val="000000"/>
        </w:rPr>
        <w:t xml:space="preserve"> Act to supplement the Weeks Act by expanding federal assistance to state forestry programs. States established more forestry programs, and research stations experimented with new fire suppression, control, and detection techniques. The 1920s also saw the adoption of standardized methods of firefighting techniques in Region Four with the publication of a fire control manual.</w:t>
      </w:r>
      <w:r w:rsidRPr="002A5B0B">
        <w:rPr>
          <w:rFonts w:ascii="Arial" w:hAnsi="Arial" w:cs="Arial"/>
          <w:color w:val="000000"/>
          <w:position w:val="12"/>
          <w:vertAlign w:val="superscript"/>
        </w:rPr>
        <w:t>114</w:t>
      </w:r>
    </w:p>
    <w:p w:rsidR="002A5B0B" w:rsidRPr="002A5B0B" w:rsidRDefault="002A5B0B">
      <w:pPr>
        <w:rPr>
          <w:rFonts w:ascii="Arial" w:hAnsi="Arial" w:cs="Arial"/>
          <w:b/>
          <w:bCs/>
          <w:color w:val="000000"/>
          <w:sz w:val="23"/>
          <w:szCs w:val="23"/>
        </w:rPr>
      </w:pPr>
      <w:r w:rsidRPr="002A5B0B">
        <w:rPr>
          <w:rFonts w:ascii="Arial" w:hAnsi="Arial" w:cs="Arial"/>
          <w:b/>
          <w:bCs/>
          <w:color w:val="000000"/>
          <w:sz w:val="23"/>
          <w:szCs w:val="23"/>
        </w:rPr>
        <w:t>FIRE LOOKOUTS</w:t>
      </w:r>
    </w:p>
    <w:p w:rsidR="002A5B0B" w:rsidRPr="002A5B0B" w:rsidRDefault="002A5B0B">
      <w:pPr>
        <w:rPr>
          <w:rFonts w:ascii="Arial" w:hAnsi="Arial" w:cs="Arial"/>
          <w:color w:val="000000"/>
          <w:sz w:val="23"/>
          <w:szCs w:val="23"/>
        </w:rPr>
      </w:pPr>
      <w:r w:rsidRPr="002A5B0B">
        <w:rPr>
          <w:rFonts w:ascii="Arial" w:hAnsi="Arial" w:cs="Arial"/>
          <w:color w:val="000000"/>
          <w:sz w:val="23"/>
          <w:szCs w:val="23"/>
        </w:rPr>
        <w:t xml:space="preserve">Several forest fires in 1910, particularly in Idaho and Montana, ushered in the 1911 Weeks Act that, among other things, provided funding to improve fire control efforts. This led to the construction of roads, fire breaks, and trails, as well as support structures such as lookout towers, fire caches, and houses. The telephone gained more importance, not only in carrying out forest administration, but also in fire control. Since remote and inaccessible </w:t>
      </w:r>
      <w:r w:rsidRPr="002A5B0B">
        <w:rPr>
          <w:rFonts w:ascii="Arial" w:hAnsi="Arial" w:cs="Arial"/>
          <w:color w:val="000000"/>
          <w:sz w:val="23"/>
          <w:szCs w:val="23"/>
        </w:rPr>
        <w:lastRenderedPageBreak/>
        <w:t>sites relied on quick communication, telephone lines were some if the first improvements constructed.</w:t>
      </w:r>
    </w:p>
    <w:p w:rsidR="002A5B0B" w:rsidRPr="002A5B0B" w:rsidRDefault="002A5B0B" w:rsidP="002A5B0B">
      <w:pPr>
        <w:pStyle w:val="BodyText"/>
        <w:jc w:val="both"/>
        <w:rPr>
          <w:rFonts w:ascii="Arial" w:hAnsi="Arial" w:cs="Arial"/>
          <w:color w:val="000000"/>
          <w:sz w:val="23"/>
          <w:szCs w:val="23"/>
        </w:rPr>
      </w:pPr>
      <w:r w:rsidRPr="002A5B0B">
        <w:rPr>
          <w:rFonts w:ascii="Arial" w:hAnsi="Arial" w:cs="Arial"/>
          <w:color w:val="000000"/>
          <w:sz w:val="23"/>
          <w:szCs w:val="23"/>
        </w:rPr>
        <w:t xml:space="preserve">In 1949, Chief Forester Lyle Watts issued a circular explaining that further site withdrawals of Forest Land under EO 9337 would be done by the Bureau of Land Management (BLM). Watts instructed the regions to prepare withdrawal requests, giving priority to those in “mineralized lands,” for submission to the WO, who would in turn submit to the BLM. </w:t>
      </w:r>
      <w:r w:rsidRPr="002A5B0B">
        <w:rPr>
          <w:rFonts w:ascii="Arial" w:hAnsi="Arial" w:cs="Arial"/>
          <w:color w:val="000000"/>
          <w:position w:val="12"/>
          <w:sz w:val="23"/>
          <w:szCs w:val="23"/>
          <w:vertAlign w:val="superscript"/>
        </w:rPr>
        <w:t xml:space="preserve">245 </w:t>
      </w:r>
      <w:r w:rsidRPr="002A5B0B">
        <w:rPr>
          <w:rFonts w:ascii="Arial" w:hAnsi="Arial" w:cs="Arial"/>
          <w:color w:val="000000"/>
          <w:sz w:val="23"/>
          <w:szCs w:val="23"/>
        </w:rPr>
        <w:t>Additional direction in 1950 stated that administrative sites subject to entry should be withdrawn under EO 9337. This did not apply, however, to those that were not subject to entry, or to lands purchased under the Weeks Law and the Receipts Act.</w:t>
      </w:r>
      <w:r w:rsidRPr="002A5B0B">
        <w:rPr>
          <w:rFonts w:ascii="Arial" w:hAnsi="Arial" w:cs="Arial"/>
          <w:color w:val="000000"/>
          <w:position w:val="12"/>
          <w:sz w:val="23"/>
          <w:szCs w:val="23"/>
          <w:vertAlign w:val="superscript"/>
        </w:rPr>
        <w:t xml:space="preserve">246 </w:t>
      </w:r>
      <w:proofErr w:type="gramStart"/>
      <w:r w:rsidRPr="002A5B0B">
        <w:rPr>
          <w:rFonts w:ascii="Arial" w:hAnsi="Arial" w:cs="Arial"/>
          <w:color w:val="000000"/>
          <w:sz w:val="23"/>
          <w:szCs w:val="23"/>
        </w:rPr>
        <w:t>On</w:t>
      </w:r>
      <w:proofErr w:type="gramEnd"/>
      <w:r w:rsidRPr="002A5B0B">
        <w:rPr>
          <w:rFonts w:ascii="Arial" w:hAnsi="Arial" w:cs="Arial"/>
          <w:color w:val="000000"/>
          <w:sz w:val="23"/>
          <w:szCs w:val="23"/>
        </w:rPr>
        <w:t xml:space="preserve"> the Bridger and Teton National Forests, numerous withdrawals of administrative sites were made in 1955 and 1956 to replace or supplement earlier withdrawals. </w:t>
      </w:r>
    </w:p>
    <w:p w:rsidR="002A5B0B" w:rsidRPr="002A5B0B" w:rsidRDefault="002A5B0B" w:rsidP="002A5B0B">
      <w:pPr>
        <w:rPr>
          <w:rFonts w:ascii="Arial" w:hAnsi="Arial" w:cs="Arial"/>
          <w:b/>
          <w:bCs/>
          <w:color w:val="000000"/>
          <w:sz w:val="23"/>
          <w:szCs w:val="23"/>
        </w:rPr>
      </w:pPr>
    </w:p>
    <w:p w:rsidR="002A5B0B" w:rsidRPr="002A5B0B" w:rsidRDefault="002A5B0B" w:rsidP="002A5B0B">
      <w:pPr>
        <w:rPr>
          <w:rFonts w:ascii="Arial" w:hAnsi="Arial" w:cs="Arial"/>
        </w:rPr>
      </w:pPr>
      <w:r w:rsidRPr="002A5B0B">
        <w:rPr>
          <w:rFonts w:ascii="Arial" w:hAnsi="Arial" w:cs="Arial"/>
          <w:color w:val="000000"/>
          <w:sz w:val="13"/>
          <w:szCs w:val="13"/>
        </w:rPr>
        <w:t xml:space="preserve">60 </w:t>
      </w:r>
      <w:r w:rsidRPr="002A5B0B">
        <w:rPr>
          <w:rFonts w:ascii="Arial" w:hAnsi="Arial" w:cs="Arial"/>
          <w:color w:val="000000"/>
          <w:sz w:val="20"/>
          <w:szCs w:val="20"/>
        </w:rPr>
        <w:t xml:space="preserve">Gerald Williams, “Administrative Units and Reorganization Efforts,” History Line (Summer 1994), 19. </w:t>
      </w:r>
      <w:r w:rsidRPr="002A5B0B">
        <w:rPr>
          <w:rFonts w:ascii="Arial" w:hAnsi="Arial" w:cs="Arial"/>
        </w:rPr>
        <w:t xml:space="preserve"> </w:t>
      </w:r>
    </w:p>
    <w:p w:rsidR="002A5B0B" w:rsidRPr="002A5B0B" w:rsidRDefault="002A5B0B" w:rsidP="002A5B0B">
      <w:pPr>
        <w:rPr>
          <w:rFonts w:ascii="Arial" w:hAnsi="Arial" w:cs="Arial"/>
        </w:rPr>
      </w:pPr>
      <w:r w:rsidRPr="002A5B0B">
        <w:rPr>
          <w:rFonts w:ascii="Arial" w:hAnsi="Arial" w:cs="Arial"/>
          <w:color w:val="000000"/>
          <w:sz w:val="13"/>
          <w:szCs w:val="13"/>
        </w:rPr>
        <w:t xml:space="preserve">64 </w:t>
      </w:r>
      <w:r w:rsidRPr="002A5B0B">
        <w:rPr>
          <w:rFonts w:ascii="Arial" w:hAnsi="Arial" w:cs="Arial"/>
          <w:color w:val="000000"/>
          <w:sz w:val="20"/>
          <w:szCs w:val="20"/>
        </w:rPr>
        <w:t xml:space="preserve">William A. </w:t>
      </w:r>
      <w:proofErr w:type="spellStart"/>
      <w:r w:rsidRPr="002A5B0B">
        <w:rPr>
          <w:rFonts w:ascii="Arial" w:hAnsi="Arial" w:cs="Arial"/>
          <w:color w:val="000000"/>
          <w:sz w:val="20"/>
          <w:szCs w:val="20"/>
        </w:rPr>
        <w:t>Worf</w:t>
      </w:r>
      <w:proofErr w:type="spellEnd"/>
      <w:r w:rsidRPr="002A5B0B">
        <w:rPr>
          <w:rFonts w:ascii="Arial" w:hAnsi="Arial" w:cs="Arial"/>
          <w:color w:val="000000"/>
          <w:sz w:val="20"/>
          <w:szCs w:val="20"/>
        </w:rPr>
        <w:t xml:space="preserve"> to “All Forest Personnel,” May 19, 1964, History Files, B-TNF SO, Jackson </w:t>
      </w:r>
      <w:r w:rsidRPr="002A5B0B">
        <w:rPr>
          <w:rFonts w:ascii="Arial" w:hAnsi="Arial" w:cs="Arial"/>
        </w:rPr>
        <w:t xml:space="preserve"> </w:t>
      </w:r>
    </w:p>
    <w:p w:rsidR="002A5B0B" w:rsidRPr="002A5B0B" w:rsidRDefault="002A5B0B" w:rsidP="002A5B0B">
      <w:pPr>
        <w:pStyle w:val="Default"/>
        <w:rPr>
          <w:rFonts w:ascii="Arial" w:hAnsi="Arial" w:cs="Arial"/>
        </w:rPr>
      </w:pPr>
      <w:r w:rsidRPr="002A5B0B">
        <w:rPr>
          <w:rFonts w:ascii="Arial" w:hAnsi="Arial" w:cs="Arial"/>
          <w:sz w:val="13"/>
          <w:szCs w:val="13"/>
        </w:rPr>
        <w:t xml:space="preserve">112 </w:t>
      </w:r>
      <w:r w:rsidRPr="002A5B0B">
        <w:rPr>
          <w:rFonts w:ascii="Arial" w:hAnsi="Arial" w:cs="Arial"/>
          <w:sz w:val="20"/>
          <w:szCs w:val="20"/>
        </w:rPr>
        <w:t xml:space="preserve">For more on the 1910 fires, see Stephen </w:t>
      </w:r>
      <w:proofErr w:type="spellStart"/>
      <w:r w:rsidRPr="002A5B0B">
        <w:rPr>
          <w:rFonts w:ascii="Arial" w:hAnsi="Arial" w:cs="Arial"/>
          <w:sz w:val="20"/>
          <w:szCs w:val="20"/>
        </w:rPr>
        <w:t>Pyne</w:t>
      </w:r>
      <w:proofErr w:type="spellEnd"/>
      <w:r w:rsidRPr="002A5B0B">
        <w:rPr>
          <w:rFonts w:ascii="Arial" w:hAnsi="Arial" w:cs="Arial"/>
          <w:sz w:val="20"/>
          <w:szCs w:val="20"/>
        </w:rPr>
        <w:t xml:space="preserve">, Year of the </w:t>
      </w:r>
      <w:proofErr w:type="gramStart"/>
      <w:r w:rsidRPr="002A5B0B">
        <w:rPr>
          <w:rFonts w:ascii="Arial" w:hAnsi="Arial" w:cs="Arial"/>
          <w:sz w:val="20"/>
          <w:szCs w:val="20"/>
        </w:rPr>
        <w:t>Fires :</w:t>
      </w:r>
      <w:proofErr w:type="gramEnd"/>
      <w:r w:rsidRPr="002A5B0B">
        <w:rPr>
          <w:rFonts w:ascii="Arial" w:hAnsi="Arial" w:cs="Arial"/>
          <w:sz w:val="20"/>
          <w:szCs w:val="20"/>
        </w:rPr>
        <w:t xml:space="preserve"> The Story of the Great Fires of 1910 (New York: Viking Books, 2001). </w:t>
      </w:r>
    </w:p>
    <w:p w:rsidR="002A5B0B" w:rsidRPr="002A5B0B" w:rsidRDefault="002A5B0B" w:rsidP="002A5B0B">
      <w:pPr>
        <w:rPr>
          <w:rFonts w:ascii="Arial" w:hAnsi="Arial" w:cs="Arial"/>
        </w:rPr>
      </w:pPr>
      <w:r w:rsidRPr="002A5B0B">
        <w:rPr>
          <w:rFonts w:ascii="Arial" w:hAnsi="Arial" w:cs="Arial"/>
          <w:color w:val="000000"/>
          <w:sz w:val="13"/>
          <w:szCs w:val="13"/>
        </w:rPr>
        <w:t xml:space="preserve">113 </w:t>
      </w:r>
      <w:r w:rsidRPr="002A5B0B">
        <w:rPr>
          <w:rFonts w:ascii="Arial" w:hAnsi="Arial" w:cs="Arial"/>
          <w:color w:val="000000"/>
          <w:sz w:val="20"/>
          <w:szCs w:val="20"/>
        </w:rPr>
        <w:t xml:space="preserve">Alexander, </w:t>
      </w:r>
      <w:proofErr w:type="gramStart"/>
      <w:r w:rsidRPr="002A5B0B">
        <w:rPr>
          <w:rFonts w:ascii="Arial" w:hAnsi="Arial" w:cs="Arial"/>
          <w:color w:val="000000"/>
          <w:sz w:val="20"/>
          <w:szCs w:val="20"/>
        </w:rPr>
        <w:t>The</w:t>
      </w:r>
      <w:proofErr w:type="gramEnd"/>
      <w:r w:rsidRPr="002A5B0B">
        <w:rPr>
          <w:rFonts w:ascii="Arial" w:hAnsi="Arial" w:cs="Arial"/>
          <w:color w:val="000000"/>
          <w:sz w:val="20"/>
          <w:szCs w:val="20"/>
        </w:rPr>
        <w:t xml:space="preserve"> Rise of Multiple-Use Management, 66. </w:t>
      </w:r>
      <w:r w:rsidRPr="002A5B0B">
        <w:rPr>
          <w:rFonts w:ascii="Arial" w:hAnsi="Arial" w:cs="Arial"/>
        </w:rPr>
        <w:t xml:space="preserve"> </w:t>
      </w:r>
    </w:p>
    <w:sectPr w:rsidR="002A5B0B" w:rsidRPr="002A5B0B" w:rsidSect="00F707B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JDMJCM+TimesNewRoman">
    <w:altName w:val="Times New Roman"/>
    <w:panose1 w:val="00000000000000000000"/>
    <w:charset w:val="00"/>
    <w:family w:val="roman"/>
    <w:notTrueType/>
    <w:pitch w:val="default"/>
    <w:sig w:usb0="00000003" w:usb1="00000000" w:usb2="00000000" w:usb3="00000000" w:csb0="00000001" w:csb1="00000000"/>
  </w:font>
  <w:font w:name="JDMFJL+TimesNewRoman,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A5B0B"/>
    <w:rsid w:val="002A5B0B"/>
    <w:rsid w:val="00A322E5"/>
    <w:rsid w:val="00F707B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07B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next w:val="Normal"/>
    <w:link w:val="BodyTextChar"/>
    <w:uiPriority w:val="99"/>
    <w:rsid w:val="002A5B0B"/>
    <w:pPr>
      <w:autoSpaceDE w:val="0"/>
      <w:autoSpaceDN w:val="0"/>
      <w:adjustRightInd w:val="0"/>
      <w:spacing w:after="0" w:line="240" w:lineRule="auto"/>
    </w:pPr>
    <w:rPr>
      <w:rFonts w:ascii="JDMJCM+TimesNewRoman" w:hAnsi="JDMJCM+TimesNewRoman"/>
      <w:sz w:val="24"/>
      <w:szCs w:val="24"/>
    </w:rPr>
  </w:style>
  <w:style w:type="character" w:customStyle="1" w:styleId="BodyTextChar">
    <w:name w:val="Body Text Char"/>
    <w:basedOn w:val="DefaultParagraphFont"/>
    <w:link w:val="BodyText"/>
    <w:uiPriority w:val="99"/>
    <w:rsid w:val="002A5B0B"/>
    <w:rPr>
      <w:rFonts w:ascii="JDMJCM+TimesNewRoman" w:hAnsi="JDMJCM+TimesNewRoman"/>
      <w:sz w:val="24"/>
      <w:szCs w:val="24"/>
    </w:rPr>
  </w:style>
  <w:style w:type="paragraph" w:customStyle="1" w:styleId="Default">
    <w:name w:val="Default"/>
    <w:rsid w:val="002A5B0B"/>
    <w:pPr>
      <w:autoSpaceDE w:val="0"/>
      <w:autoSpaceDN w:val="0"/>
      <w:adjustRightInd w:val="0"/>
      <w:spacing w:after="0" w:line="240" w:lineRule="auto"/>
    </w:pPr>
    <w:rPr>
      <w:rFonts w:ascii="JDMJCM+TimesNewRoman" w:hAnsi="JDMJCM+TimesNewRoman" w:cs="JDMJCM+TimesNewRoman"/>
      <w:color w:val="000000"/>
      <w:sz w:val="24"/>
      <w:szCs w:val="24"/>
    </w:rPr>
  </w:style>
  <w:style w:type="paragraph" w:styleId="Subtitle">
    <w:name w:val="Subtitle"/>
    <w:basedOn w:val="Default"/>
    <w:next w:val="Default"/>
    <w:link w:val="SubtitleChar"/>
    <w:uiPriority w:val="99"/>
    <w:qFormat/>
    <w:rsid w:val="002A5B0B"/>
    <w:rPr>
      <w:rFonts w:ascii="JDMFJL+TimesNewRoman,Bold" w:hAnsi="JDMFJL+TimesNewRoman,Bold" w:cstheme="minorBidi"/>
      <w:color w:val="auto"/>
    </w:rPr>
  </w:style>
  <w:style w:type="character" w:customStyle="1" w:styleId="SubtitleChar">
    <w:name w:val="Subtitle Char"/>
    <w:basedOn w:val="DefaultParagraphFont"/>
    <w:link w:val="Subtitle"/>
    <w:uiPriority w:val="99"/>
    <w:rsid w:val="002A5B0B"/>
    <w:rPr>
      <w:rFonts w:ascii="JDMFJL+TimesNewRoman,Bold" w:hAnsi="JDMFJL+TimesNewRoman,Bold"/>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3843</TotalTime>
  <Pages>2</Pages>
  <Words>610</Words>
  <Characters>3482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Forest Service</Company>
  <LinksUpToDate>false</LinksUpToDate>
  <CharactersWithSpaces>4084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mkoerner</dc:creator>
  <cp:keywords/>
  <dc:description/>
  <cp:lastModifiedBy>mkoerner</cp:lastModifiedBy>
  <cp:revision>1</cp:revision>
  <dcterms:created xsi:type="dcterms:W3CDTF">2010-04-02T20:14:00Z</dcterms:created>
  <dcterms:modified xsi:type="dcterms:W3CDTF">2010-04-05T12:17:00Z</dcterms:modified>
</cp:coreProperties>
</file>